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宋体"/>
          <w:color w:val="000000"/>
        </w:rPr>
        <w:spacing w:line="540" w:lineRule="exact"/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玉溪市江川区信鸽协会特比环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宋体"/>
          <w:color w:val="000000"/>
        </w:rPr>
        <w:t xml:space="preserve">验鸽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/>
        </w:rPr>
        <w:spacing w:line="540" w:lineRule="exact"/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暨2020年秋赛暗插通知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各位会员：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为了丰富比赛内容，打造多样的比赛模式，结合《江川区2020年秋季特比环三关鸽王赛规程》第十条的规定（八月中旬验鸽、测试电子环），现将特比环验鸽暨2020年秋赛暗插通知如下：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一、验鸽、暗插时间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2020年8月22日、23日13:00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-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: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00、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19:00-21:00，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/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/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/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/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过时不候。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二、验鸽、暗插地点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翔飞鸽粮店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三、特比环验鸽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1.各位会员需提前为每羽赛鸽建立正确的赛鸽档案，验鸽时带鸽钟集鸽上传信息，同时加盖暗章。电子环测试有损坏的鸽会统一现场免费更换。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.特比环幼鸽发现脚踝肿大、脚面肤色异常、佩带脚环一脚少脚趾、足环破损做登记处理；比赛后期出现其中以上情况按失格处理，羽条处带有电话号码或各种暗记情况一律取消参赛资格，按失格处理，特比环内环大头朝上者按失格处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3.特比环收款时间截止8月23日，未交费视为自动弃权，取消后续参赛资格。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四、秋赛暗插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1.本次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暗插由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翔飞赛鸽俱乐部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承办，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江川区信鸽协会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监赛。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暗插仅限特比环参加。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.暗插分为单关（特比环最后一站打洛口岸）50元、100元、特殊羽色100元；三关（特比环规程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hAnsi="宋体"/>
          <w:color w:val="000000"/>
        </w:rPr>
        <w:t xml:space="preserve">勐海境内、打洛坡头、打洛口岸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）100元、200元，奖金分配如下：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668"/>
        <w:gridCol w:w="1417"/>
        <w:gridCol w:w="1276"/>
        <w:gridCol w:w="1319"/>
        <w:gridCol w:w="1421"/>
        <w:gridCol w:w="1421"/>
      </w:tblGrid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一名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二名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三名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四名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五名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单关50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30%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22%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17%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单关100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30%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22%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type id="_x0000_t32" coordsize="21600,21600" o:spt="32" path="m,l21600,21600e">
                  <v:stroke joinstyle="miter"/>
                  <v:path gradientshapeok="t"/>
                </v:shapetype>
                <v:shape id="_x0000_s2051" type="#_x0000_t32" style="position:absolute;margin-left:-5.3pt;margin-top:30.65pt;width:64.2pt;height:61.75pt;z-index:524289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17%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</w:tr>
      <w:tr>
        <w:trPr>
          <w:wAfter w:w="0" w:type="dxa"/>
          <w:trHeight w:val="1086" w:hRule="atLeast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单关特殊羽色100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95%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0" type="#_x0000_t32" style="position:absolute;margin-left:-5.15pt;margin-top:-0.5pt;width:64.05pt;height:61.25pt;z-index:524288;" filled="f" coordsize="21600,21600">
                  <v:stroke linestyle="single"/>
                </v:shape>
              </w:pic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3" type="#_x0000_t32" style="position:absolute;margin-left:58.9pt;margin-top:-0.05pt;width:69.6pt;height:61.05pt;z-index:524291;" filled="f" coordsize="21600,21600">
                  <v:stroke linestyle="single"/>
                </v:shape>
              </w:pic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2" type="#_x0000_t32" style="position:absolute;margin-left:-3.55pt;margin-top:1.15pt;width:68.55pt;height:59.7pt;z-index:524290;" filled="f" coordsize="21600,21600">
                  <v:stroke linestyle="single"/>
                </v:shape>
              </w:pic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三关100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7" type="#_x0000_t32" style="position:absolute;margin-left:193.95pt;margin-top:30.4pt;width:73.75pt;height:31.5pt;z-index:524295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6" type="#_x0000_t32" style="position:absolute;margin-left:267.7pt;margin-top:32.05pt;width:68.55pt;height:29.8pt;z-index:524294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5" type="#_x0000_t32" style="position:absolute;margin-left:129.15pt;margin-top:30.5pt;width:64.5pt;height:31.5pt;z-index:524293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30%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22%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17%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三关200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4" type="#_x0000_t32" style="position:absolute;margin-left:65.1pt;margin-top:0.4pt;width:64.5pt;height:31.5pt;z-index:524292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95%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注：特殊羽色为除雨点、灰外的其它羽色，花鸽白色（异色）羽毛需占70%及以上。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4000" w:firstLineChars="125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玉溪市江川区翔飞赛鸽俱乐部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4640" w:firstLineChars="145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玉溪市江川区信鸽协会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5120" w:firstLineChars="16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2020年8月1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5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日</w:t>
      </w:r>
    </w:p>
    <w:sectPr>
      <w:headerReference w:type="default" r:id="rId3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_GBK">
    <w:altName w:val="微软雅黑"/>
    <w:charset w:val="86"/>
    <w:family w:val="script"/>
    <w:panose1 w:val="03000509000000000000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anose1 w:val="02010609030101010101"/>
    <w:pitch w:val="default"/>
    <w:sig w:usb0="00000001" w:usb1="080e0000" w:usb2="00000010" w:usb3="00000000" w:csb0="00040000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UserStyle_0">
    <w:name w:val="UserStyle_0"/>
    <w:basedOn w:val="NormalCharacter"/>
    <w:next w:val="UserStyle_0"/>
    <w:link w:val="Footer"/>
    <w:semiHidden/>
    <w:rPr>
      <w:szCs w:val="18"/>
      <w:sz w:val="18"/>
    </w:rPr>
  </w:style>
  <w:style w:type="character" w:styleId="UserStyle_1">
    <w:name w:val="UserStyle_1"/>
    <w:basedOn w:val="NormalCharacter"/>
    <w:next w:val="UserStyle_1"/>
    <w:link w:val="Header"/>
    <w:semiHidden/>
    <w:rPr>
      <w:szCs w:val="18"/>
      <w:sz w:val="18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宋体"/>
          <w:color w:val="000000"/>
        </w:rPr>
        <w:spacing w:line="540" w:lineRule="exact"/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玉溪市江川区信鸽协会特比环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 w:hAnsi="宋体"/>
          <w:color w:val="000000"/>
        </w:rPr>
        <w:t xml:space="preserve">验鸽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/>
        </w:rPr>
        <w:spacing w:line="540" w:lineRule="exact"/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方正小标宋_GBK" w:eastAsia="方正小标宋_GBK"/>
        </w:rPr>
        <w:t xml:space="preserve">暨2020年秋赛暗插通知</w:t>
      </w: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</w:p>
    <w:p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  <w:r>
        <w:rPr>
          <w:rStyle w:val="NormalCharacter"/>
          <w:b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各位会员：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为了丰富比赛内容，打造多样的比赛模式，结合《江川区2020年秋季特比环三关鸽王赛规程》第十条的规定（八月中旬验鸽、测试电子环），现将特比环验鸽暨2020年秋赛暗插通知如下：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一、验鸽、暗插时间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2020年8月22日13:00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-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: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00、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18:30-20:30；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2240" w:firstLineChars="7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23日13:00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-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17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: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00,过时不候。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二、验鸽、暗插地点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翔飞鸽粮店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三、特比环验鸽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1.各位会员需提前为每羽赛鸽建立正确的赛鸽档案，验鸽时带鸽钟集鸽上传信息，同时加盖暗章。电子环测试有损坏的鸽会统一现场免费更换。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.特比环幼鸽发现脚踝肿大、脚面肤色异常、佩带脚环一脚少脚趾、足环破损做登记处理；比赛后期出现其中以上情况按失格处理，羽条处带有电话号码或各种暗记情况一律取消参赛资格，按失格处理，特比环内环大头朝上者按失格处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3.特比环收款时间截止8月23日，未交费视为自动弃权，取消后续参赛资格。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四、秋赛暗插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1.本次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暗插由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翔飞赛鸽俱乐部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承办，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江川区信鸽协会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监督赛。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2.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本次暗插仅限特比环参加。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3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.本次暗插分为单关（特比环最后一站打洛口岸）50元、100元、特殊羽色100元；三关（特比环规程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宋体" w:hAnsi="宋体"/>
          <w:color w:val="000000"/>
        </w:rPr>
        <w:t xml:space="preserve">勐海境内、打洛坡头、打洛口岸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）100元、200元，奖金分配如下：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668"/>
        <w:gridCol w:w="1417"/>
        <w:gridCol w:w="1276"/>
        <w:gridCol w:w="1319"/>
        <w:gridCol w:w="1421"/>
        <w:gridCol w:w="1421"/>
      </w:tblGrid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一名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二名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三名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四名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五名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单关50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30%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22%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17%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单关100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30%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22%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type id="_x0000_t32" coordsize="21600,21600" o:spt="32" path="m,l21600,21600e">
                  <v:stroke joinstyle="miter"/>
                  <v:path gradientshapeok="t"/>
                </v:shapetype>
                <v:shape id="_x0000_s2051" type="#_x0000_t32" style="position:absolute;margin-left:-5.3pt;margin-top:30.65pt;width:64.2pt;height:61.75pt;z-index:524289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17%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</w:tr>
      <w:tr>
        <w:trPr>
          <w:wAfter w:w="0" w:type="dxa"/>
          <w:trHeight w:val="1086" w:hRule="atLeast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单关特殊羽色100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95%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0" type="#_x0000_t32" style="position:absolute;margin-left:-5.15pt;margin-top:-0.5pt;width:64.05pt;height:61.25pt;z-index:524288;" filled="f" coordsize="21600,21600">
                  <v:stroke linestyle="single"/>
                </v:shape>
              </w:pic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3" type="#_x0000_t32" style="position:absolute;margin-left:58.9pt;margin-top:-0.05pt;width:69.6pt;height:61.05pt;z-index:524291;" filled="f" coordsize="21600,21600">
                  <v:stroke linestyle="single"/>
                </v:shape>
              </w:pic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2" type="#_x0000_t32" style="position:absolute;margin-left:-3.55pt;margin-top:1.15pt;width:68.55pt;height:59.7pt;z-index:524290;" filled="f" coordsize="21600,21600">
                  <v:stroke linestyle="single"/>
                </v:shape>
              </w:pic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三关100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7" type="#_x0000_t32" style="position:absolute;margin-left:193.95pt;margin-top:30.4pt;width:73.75pt;height:31.5pt;z-index:524295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6" type="#_x0000_t32" style="position:absolute;margin-left:267.7pt;margin-top:32.05pt;width:68.55pt;height:29.8pt;z-index:524294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5" type="#_x0000_t32" style="position:absolute;margin-left:129.15pt;margin-top:30.5pt;width:64.5pt;height:31.5pt;z-index:524293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30%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22%</w:t>
            </w: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17%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13%</w:t>
            </w:r>
          </w:p>
        </w:tc>
      </w:tr>
      <w:tr>
        <w:trPr>
          <w:wAfter w:w="0" w:type="dxa"/>
        </w:trPr>
        <w:tc>
          <w:tcPr>
            <w:textDirection w:val="lrTb"/>
            <w:vAlign w:val="center"/>
            <w:tcW w:type="dxa" w:w="166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三关200</w:t>
            </w:r>
          </w:p>
        </w:tc>
        <w:tc>
          <w:tcPr>
            <w:textDirection w:val="lrTb"/>
            <w:vAlign w:val="center"/>
            <w:tcW w:type="dxa" w:w="14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lang w:bidi="ar-SA"/>
                <w:rFonts w:ascii="仿宋_GB2312" w:eastAsia="仿宋_GB2312"/>
              </w:rPr>
              <w:pict>
                <v:shape id="_x0000_s2054" type="#_x0000_t32" style="position:absolute;margin-left:65.1pt;margin-top:0.4pt;width:64.5pt;height:31.5pt;z-index:524292;" filled="f" coordsize="21600,21600">
                  <v:stroke linestyle="single"/>
                </v:shape>
              </w:pic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t xml:space="preserve">95%</w:t>
            </w:r>
          </w:p>
        </w:tc>
        <w:tc>
          <w:tcPr>
            <w:textDirection w:val="lrTb"/>
            <w:vAlign w:val="center"/>
            <w:tcW w:type="dxa" w:w="127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注：特殊羽色为除雨点、灰外的其它羽色，花鸽白色（异色）羽毛需占70%及以上。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640" w:firstLineChars="200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4000" w:firstLineChars="125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玉溪市江川区翔飞赛鸽俱乐部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4640" w:firstLineChars="145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玉溪市江川区信鸽协会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ind w:firstLine="5120" w:firstLineChars="1600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2020年8月1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5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日</w:t>
      </w:r>
    </w:p>
    <w:sectPr>
      <w:headerReference w:type="default" r:id="rId3"/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p_6(0,0,7mpValue|null);p_7|D;p_15(0);p_16(0);p_17(0);p_19(20mpValue|null);p_20|D;
</file>